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09990B" w14:textId="77777777" w:rsidR="007C53D0" w:rsidRDefault="007C53D0" w:rsidP="007C53D0">
      <w:pPr>
        <w:jc w:val="center"/>
        <w:rPr>
          <w:lang w:val="en-US"/>
        </w:rPr>
      </w:pPr>
      <w:bookmarkStart w:id="0" w:name="_GoBack"/>
      <w:bookmarkEnd w:id="0"/>
    </w:p>
    <w:p w14:paraId="658B1AD4" w14:textId="77777777" w:rsidR="007C53D0" w:rsidRDefault="007C53D0" w:rsidP="007C53D0">
      <w:pPr>
        <w:jc w:val="center"/>
        <w:rPr>
          <w:lang w:val="en-US"/>
        </w:rPr>
      </w:pPr>
    </w:p>
    <w:p w14:paraId="7148394A" w14:textId="77777777" w:rsidR="007C53D0" w:rsidRDefault="007C53D0" w:rsidP="007C53D0">
      <w:pPr>
        <w:jc w:val="center"/>
        <w:rPr>
          <w:lang w:val="en-US"/>
        </w:rPr>
      </w:pPr>
    </w:p>
    <w:p w14:paraId="503B02CB" w14:textId="77777777" w:rsidR="007C53D0" w:rsidRDefault="007C53D0" w:rsidP="007C53D0">
      <w:pPr>
        <w:jc w:val="center"/>
        <w:rPr>
          <w:lang w:val="en-US"/>
        </w:rPr>
      </w:pPr>
    </w:p>
    <w:p w14:paraId="7121C398" w14:textId="77777777" w:rsidR="007C53D0" w:rsidRDefault="007C53D0" w:rsidP="007C53D0">
      <w:pPr>
        <w:jc w:val="center"/>
        <w:rPr>
          <w:lang w:val="en-US"/>
        </w:rPr>
      </w:pPr>
    </w:p>
    <w:p w14:paraId="03E60080" w14:textId="77777777" w:rsidR="007C53D0" w:rsidRDefault="007C53D0" w:rsidP="007C53D0">
      <w:pPr>
        <w:jc w:val="center"/>
        <w:rPr>
          <w:lang w:val="en-US"/>
        </w:rPr>
      </w:pPr>
    </w:p>
    <w:p w14:paraId="0E306C17" w14:textId="77777777" w:rsidR="007C53D0" w:rsidRDefault="007C53D0" w:rsidP="007C53D0">
      <w:pPr>
        <w:jc w:val="center"/>
        <w:rPr>
          <w:lang w:val="en-US"/>
        </w:rPr>
      </w:pPr>
    </w:p>
    <w:p w14:paraId="4FF7FB24" w14:textId="77777777" w:rsidR="007C53D0" w:rsidRDefault="007C53D0" w:rsidP="007C53D0">
      <w:pPr>
        <w:jc w:val="center"/>
        <w:rPr>
          <w:lang w:val="en-US"/>
        </w:rPr>
      </w:pPr>
    </w:p>
    <w:p w14:paraId="4AD94D18" w14:textId="77777777" w:rsidR="007C53D0" w:rsidRDefault="007C53D0" w:rsidP="007C53D0">
      <w:pPr>
        <w:jc w:val="center"/>
        <w:rPr>
          <w:lang w:val="en-US"/>
        </w:rPr>
      </w:pPr>
    </w:p>
    <w:p w14:paraId="041CBA0B" w14:textId="77777777" w:rsidR="007C53D0" w:rsidRDefault="007C53D0" w:rsidP="007C53D0">
      <w:pPr>
        <w:jc w:val="center"/>
        <w:rPr>
          <w:lang w:val="en-US"/>
        </w:rPr>
      </w:pPr>
    </w:p>
    <w:p w14:paraId="450CA268" w14:textId="77777777" w:rsidR="007C53D0" w:rsidRDefault="007C53D0" w:rsidP="007C53D0">
      <w:pPr>
        <w:jc w:val="center"/>
        <w:rPr>
          <w:lang w:val="en-US"/>
        </w:rPr>
      </w:pPr>
    </w:p>
    <w:p w14:paraId="1602243B" w14:textId="77777777" w:rsidR="007C53D0" w:rsidRDefault="007C53D0" w:rsidP="007C53D0">
      <w:pPr>
        <w:jc w:val="center"/>
        <w:rPr>
          <w:lang w:val="en-US"/>
        </w:rPr>
      </w:pPr>
    </w:p>
    <w:p w14:paraId="5BC9ED70" w14:textId="77777777" w:rsidR="007C53D0" w:rsidRDefault="007C53D0" w:rsidP="007C53D0">
      <w:pPr>
        <w:jc w:val="center"/>
        <w:rPr>
          <w:lang w:val="en-US"/>
        </w:rPr>
      </w:pPr>
    </w:p>
    <w:p w14:paraId="54C26CB6" w14:textId="77777777" w:rsidR="007C53D0" w:rsidRDefault="007C53D0" w:rsidP="007C53D0">
      <w:pPr>
        <w:jc w:val="center"/>
        <w:rPr>
          <w:lang w:val="en-US"/>
        </w:rPr>
      </w:pPr>
    </w:p>
    <w:p w14:paraId="1ACF7480" w14:textId="77777777" w:rsidR="007C53D0" w:rsidRDefault="007C53D0" w:rsidP="007C53D0">
      <w:pPr>
        <w:jc w:val="center"/>
        <w:rPr>
          <w:lang w:val="en-US"/>
        </w:rPr>
      </w:pPr>
    </w:p>
    <w:p w14:paraId="386D60AA" w14:textId="41D17056" w:rsidR="00C57C68" w:rsidRDefault="0019294A" w:rsidP="007C53D0">
      <w:pPr>
        <w:jc w:val="center"/>
        <w:rPr>
          <w:lang w:val="en-US"/>
        </w:rPr>
      </w:pPr>
      <w:r>
        <w:rPr>
          <w:lang w:val="en-US"/>
        </w:rPr>
        <w:t xml:space="preserve">Racial </w:t>
      </w:r>
      <w:r w:rsidR="007C53D0">
        <w:rPr>
          <w:lang w:val="en-US"/>
        </w:rPr>
        <w:t>P</w:t>
      </w:r>
      <w:r>
        <w:rPr>
          <w:lang w:val="en-US"/>
        </w:rPr>
        <w:t xml:space="preserve">rofiling in </w:t>
      </w:r>
      <w:r w:rsidR="007C53D0">
        <w:rPr>
          <w:lang w:val="en-US"/>
        </w:rPr>
        <w:t>S</w:t>
      </w:r>
      <w:r>
        <w:rPr>
          <w:lang w:val="en-US"/>
        </w:rPr>
        <w:t>chools</w:t>
      </w:r>
    </w:p>
    <w:p w14:paraId="1927BAD8" w14:textId="5E99A353" w:rsidR="007C53D0" w:rsidRDefault="0019294A" w:rsidP="007C53D0">
      <w:pPr>
        <w:jc w:val="center"/>
        <w:rPr>
          <w:lang w:val="en-US"/>
        </w:rPr>
      </w:pPr>
      <w:r>
        <w:rPr>
          <w:lang w:val="en-US"/>
        </w:rPr>
        <w:t>Name</w:t>
      </w:r>
    </w:p>
    <w:p w14:paraId="0920A514" w14:textId="23B52380" w:rsidR="007C53D0" w:rsidRDefault="0019294A" w:rsidP="007C53D0">
      <w:pPr>
        <w:jc w:val="center"/>
        <w:rPr>
          <w:lang w:val="en-US"/>
        </w:rPr>
      </w:pPr>
      <w:r>
        <w:rPr>
          <w:lang w:val="en-US"/>
        </w:rPr>
        <w:t>Institution</w:t>
      </w:r>
    </w:p>
    <w:p w14:paraId="771FA689" w14:textId="1444C916" w:rsidR="007C53D0" w:rsidRDefault="007C53D0" w:rsidP="007C53D0">
      <w:pPr>
        <w:jc w:val="center"/>
        <w:rPr>
          <w:lang w:val="en-US"/>
        </w:rPr>
      </w:pPr>
    </w:p>
    <w:p w14:paraId="2DE31973" w14:textId="7C541D0D" w:rsidR="007C53D0" w:rsidRDefault="007C53D0" w:rsidP="007C53D0">
      <w:pPr>
        <w:jc w:val="center"/>
        <w:rPr>
          <w:lang w:val="en-US"/>
        </w:rPr>
      </w:pPr>
    </w:p>
    <w:p w14:paraId="41EB787A" w14:textId="0179CACC" w:rsidR="007C53D0" w:rsidRDefault="007C53D0" w:rsidP="007C53D0">
      <w:pPr>
        <w:jc w:val="center"/>
        <w:rPr>
          <w:lang w:val="en-US"/>
        </w:rPr>
      </w:pPr>
    </w:p>
    <w:p w14:paraId="3865ABDB" w14:textId="2F7ECFCC" w:rsidR="007C53D0" w:rsidRDefault="007C53D0" w:rsidP="007C53D0">
      <w:pPr>
        <w:jc w:val="center"/>
        <w:rPr>
          <w:lang w:val="en-US"/>
        </w:rPr>
      </w:pPr>
    </w:p>
    <w:p w14:paraId="2EF67EE1" w14:textId="416E594D" w:rsidR="007C53D0" w:rsidRDefault="007C53D0" w:rsidP="007C53D0">
      <w:pPr>
        <w:jc w:val="center"/>
        <w:rPr>
          <w:lang w:val="en-US"/>
        </w:rPr>
      </w:pPr>
    </w:p>
    <w:p w14:paraId="4164B777" w14:textId="4FDF1790" w:rsidR="007C53D0" w:rsidRDefault="007C53D0" w:rsidP="007C53D0">
      <w:pPr>
        <w:jc w:val="center"/>
        <w:rPr>
          <w:lang w:val="en-US"/>
        </w:rPr>
      </w:pPr>
    </w:p>
    <w:p w14:paraId="3C97C628" w14:textId="2599B404" w:rsidR="007C53D0" w:rsidRDefault="007C53D0" w:rsidP="007C53D0">
      <w:pPr>
        <w:jc w:val="center"/>
        <w:rPr>
          <w:lang w:val="en-US"/>
        </w:rPr>
      </w:pPr>
    </w:p>
    <w:p w14:paraId="149BBBDF" w14:textId="35831941" w:rsidR="007C53D0" w:rsidRDefault="007C53D0" w:rsidP="007C53D0">
      <w:pPr>
        <w:jc w:val="center"/>
        <w:rPr>
          <w:lang w:val="en-US"/>
        </w:rPr>
      </w:pPr>
    </w:p>
    <w:p w14:paraId="016C91C8" w14:textId="3D215DDA" w:rsidR="007C53D0" w:rsidRDefault="007C53D0" w:rsidP="007C53D0">
      <w:pPr>
        <w:jc w:val="center"/>
        <w:rPr>
          <w:lang w:val="en-US"/>
        </w:rPr>
      </w:pPr>
    </w:p>
    <w:p w14:paraId="441A56E1" w14:textId="4183BD25" w:rsidR="007C53D0" w:rsidRDefault="007C53D0" w:rsidP="007C53D0">
      <w:pPr>
        <w:jc w:val="center"/>
        <w:rPr>
          <w:lang w:val="en-US"/>
        </w:rPr>
      </w:pPr>
    </w:p>
    <w:p w14:paraId="75FC1240" w14:textId="77777777" w:rsidR="007C53D0" w:rsidRDefault="007C53D0" w:rsidP="007C53D0">
      <w:pPr>
        <w:jc w:val="center"/>
        <w:rPr>
          <w:lang w:val="en-US"/>
        </w:rPr>
      </w:pPr>
    </w:p>
    <w:p w14:paraId="505817E6" w14:textId="77777777" w:rsidR="007C53D0" w:rsidRDefault="007C53D0">
      <w:pPr>
        <w:rPr>
          <w:lang w:val="en-US"/>
        </w:rPr>
      </w:pPr>
    </w:p>
    <w:p w14:paraId="1EDCFAEF" w14:textId="2074B5C1" w:rsidR="00C45649" w:rsidRPr="00C57C68" w:rsidRDefault="0019294A" w:rsidP="00C24576">
      <w:pPr>
        <w:spacing w:line="480" w:lineRule="auto"/>
        <w:ind w:firstLine="720"/>
        <w:jc w:val="both"/>
        <w:rPr>
          <w:lang w:val="en-US"/>
        </w:rPr>
      </w:pPr>
      <w:r w:rsidRPr="00C57C68">
        <w:rPr>
          <w:lang w:val="en-US"/>
        </w:rPr>
        <w:lastRenderedPageBreak/>
        <w:t>Racial profiling has been a significant challenge within a learning context contributing to significant physical and psychological challenges. The level of interaction within a learning environment provides an understanding of the level of wellbeing among students. International students are influenced differently based on their racial traits across the international learning environment. Even though significant efforts have been made in creating an equal learning environment within the United States and across the world, there is need to provide a better picture on the existing challenges regarding the engagement of minority racial groups. This research paper will provide a strong focus on a historical event which has a significant influence on college students. The event will form the basis of this paper is the Brown v. Board of Education of Topeka, 347 U.S. 483 (1954).</w:t>
      </w:r>
    </w:p>
    <w:p w14:paraId="7E346333" w14:textId="4515B354" w:rsidR="00785B3E" w:rsidRPr="00C57C68" w:rsidRDefault="0019294A" w:rsidP="00C24576">
      <w:pPr>
        <w:spacing w:line="480" w:lineRule="auto"/>
        <w:ind w:firstLine="720"/>
        <w:jc w:val="center"/>
        <w:rPr>
          <w:lang w:val="en-US"/>
        </w:rPr>
      </w:pPr>
      <w:r w:rsidRPr="00C57C68">
        <w:rPr>
          <w:lang w:val="en-US"/>
        </w:rPr>
        <w:t>The summary of the event</w:t>
      </w:r>
    </w:p>
    <w:p w14:paraId="62FB011E" w14:textId="69954865" w:rsidR="00785B3E" w:rsidRPr="00C57C68" w:rsidRDefault="0019294A" w:rsidP="00C24576">
      <w:pPr>
        <w:spacing w:line="480" w:lineRule="auto"/>
        <w:ind w:firstLine="720"/>
        <w:jc w:val="both"/>
        <w:rPr>
          <w:lang w:val="en-US"/>
        </w:rPr>
      </w:pPr>
      <w:r w:rsidRPr="00C57C68">
        <w:rPr>
          <w:lang w:val="en-US"/>
        </w:rPr>
        <w:t>The Brown vs. Board of education case sought to challenge the constitutionality of the separate but equal act of 1896. In 1896, the United States Supreme Court racially segregated the public facilities in Plessy vs. Fergusson case. Thus, in the case, the court ruled that segregation of blacks and white in the use of public facilities was legal as long as the facilities for both whites and blacks were equal. This ruling followed another landmark court decision in 1857, which asserted that slaves whether free could not be regarded as citizens. The 1896 decision barred blacks from sharing the same buses, schools and other public facilities under the Jim Crow's laws where the separate but equal doctrine stood for six decades until the Brown vs. Board of education case, which sought to prevent the application of separate but equal doctrine</w:t>
      </w:r>
      <w:r w:rsidR="004A6BF5">
        <w:rPr>
          <w:lang w:val="en-US"/>
        </w:rPr>
        <w:t xml:space="preserve"> (</w:t>
      </w:r>
      <w:r w:rsidR="004A6BF5" w:rsidRPr="004A6BF5">
        <w:rPr>
          <w:lang w:val="en-US"/>
        </w:rPr>
        <w:t>Strayhorn &amp; Johnson, 2014).</w:t>
      </w:r>
    </w:p>
    <w:p w14:paraId="431BE06F" w14:textId="5E452EB5" w:rsidR="00C57C68" w:rsidRPr="00C57C68" w:rsidRDefault="0019294A" w:rsidP="00C24576">
      <w:pPr>
        <w:spacing w:line="480" w:lineRule="auto"/>
        <w:ind w:firstLine="720"/>
        <w:jc w:val="both"/>
        <w:rPr>
          <w:lang w:val="en-US"/>
        </w:rPr>
      </w:pPr>
      <w:r w:rsidRPr="00C57C68">
        <w:rPr>
          <w:lang w:val="en-US"/>
        </w:rPr>
        <w:t xml:space="preserve">In the landmark cases in the United States Supreme Court, Brown vs. Board of Education, the court ruled against segregation in education where white students were separated from blacks. The court highlighted that an individual race or ethnicity should not be </w:t>
      </w:r>
      <w:r w:rsidRPr="00C57C68">
        <w:rPr>
          <w:lang w:val="en-US"/>
        </w:rPr>
        <w:lastRenderedPageBreak/>
        <w:t>used as a basis of educational attainment. Consequently, teachers and other stakeholders in education were required to ensure equality in educational attainment where no specific schools were to be set in a particular race since everyone was equal. However, even though this pronouncement has been made, there still exist racial differences in the education system where there are schools that are attended by the majority of a given community</w:t>
      </w:r>
      <w:bookmarkStart w:id="1" w:name="_Hlk10096714"/>
      <w:r w:rsidRPr="00C57C68">
        <w:rPr>
          <w:lang w:val="en-US"/>
        </w:rPr>
        <w:t xml:space="preserve"> (Strayhorn &amp; Johnson, 2014).</w:t>
      </w:r>
      <w:bookmarkEnd w:id="1"/>
    </w:p>
    <w:p w14:paraId="26DB66C2" w14:textId="4A01E0B1" w:rsidR="00C24576" w:rsidRDefault="0019294A" w:rsidP="00C24576">
      <w:pPr>
        <w:spacing w:line="480" w:lineRule="auto"/>
        <w:ind w:firstLine="720"/>
        <w:jc w:val="center"/>
        <w:rPr>
          <w:lang w:val="en-US"/>
        </w:rPr>
      </w:pPr>
      <w:r w:rsidRPr="00C57C68">
        <w:rPr>
          <w:lang w:val="en-US"/>
        </w:rPr>
        <w:t>Current changes in racial profiling</w:t>
      </w:r>
    </w:p>
    <w:p w14:paraId="6BE215CA" w14:textId="681903B7" w:rsidR="00C24576" w:rsidRDefault="0019294A" w:rsidP="00C24576">
      <w:pPr>
        <w:spacing w:line="480" w:lineRule="auto"/>
        <w:ind w:firstLine="720"/>
        <w:jc w:val="both"/>
        <w:rPr>
          <w:lang w:val="en-US"/>
        </w:rPr>
      </w:pPr>
      <w:r w:rsidRPr="00C57C68">
        <w:rPr>
          <w:lang w:val="en-US"/>
        </w:rPr>
        <w:t xml:space="preserve"> Currently, segregation in the United States has adopted a different strategy where various schools have been isolated where the majority is known to come from a specific community.  Bers and Schuetz (2014) suggested that</w:t>
      </w:r>
      <w:r w:rsidR="004A6BF5">
        <w:rPr>
          <w:lang w:val="en-US"/>
        </w:rPr>
        <w:t xml:space="preserve"> s</w:t>
      </w:r>
      <w:r w:rsidRPr="00C57C68">
        <w:rPr>
          <w:lang w:val="en-US"/>
        </w:rPr>
        <w:t>uch schools, investigators found, offered disproportionately fewer math, science and college-prep courses and had higher rates of students who were held back in ninth grade, suspended or expelled. The fact that segregation in schools has not been adequately considered as a severe issue has resulted in a very significant and challenging environment where the issue has been significantly modified (Ber &amp; Schuetz, 2014). The current segregating levels in schools are much higher than it was at the height of the civil rights movement. The high segregation levels in schools are mainly based on race and class. The structure of the American education system has made it possible for existing levels of segregation since they do not provide a clean environment where better student development on equal terms can be developed.</w:t>
      </w:r>
    </w:p>
    <w:p w14:paraId="50910A9F" w14:textId="35F750C3" w:rsidR="00C24576" w:rsidRDefault="0019294A" w:rsidP="00C24576">
      <w:pPr>
        <w:spacing w:line="480" w:lineRule="auto"/>
        <w:ind w:firstLine="720"/>
        <w:jc w:val="both"/>
        <w:rPr>
          <w:lang w:val="en-US"/>
        </w:rPr>
      </w:pPr>
      <w:r w:rsidRPr="00C57C68">
        <w:rPr>
          <w:lang w:val="en-US"/>
        </w:rPr>
        <w:t xml:space="preserve">The loopholes that exist within the education system have made it very difficult to embrace oneness in schools dominated by a particular race. This consideration is increasingly becoming a serious issue, which needs to be considered valid and ensure that there is a development of well-engaged schools where students from any race can learn in a school that is dominated by another race without any level of segregation. These issues have been critical </w:t>
      </w:r>
      <w:r w:rsidRPr="00C57C68">
        <w:rPr>
          <w:lang w:val="en-US"/>
        </w:rPr>
        <w:lastRenderedPageBreak/>
        <w:t xml:space="preserve">in creating a difficult environment considering the </w:t>
      </w:r>
      <w:r w:rsidR="005B2B94" w:rsidRPr="00C57C68">
        <w:rPr>
          <w:lang w:val="en-US"/>
        </w:rPr>
        <w:t>dropout</w:t>
      </w:r>
      <w:r w:rsidRPr="00C57C68">
        <w:rPr>
          <w:lang w:val="en-US"/>
        </w:rPr>
        <w:t xml:space="preserve"> rates among male African male students compared to the Latinos and whites (Watson et al., 2015).</w:t>
      </w:r>
    </w:p>
    <w:p w14:paraId="20B77538" w14:textId="62D2EB12" w:rsidR="00C57C68" w:rsidRPr="00C57C68" w:rsidRDefault="0019294A" w:rsidP="00C24576">
      <w:pPr>
        <w:spacing w:line="480" w:lineRule="auto"/>
        <w:ind w:firstLine="720"/>
        <w:jc w:val="both"/>
        <w:rPr>
          <w:lang w:val="en-US"/>
        </w:rPr>
      </w:pPr>
      <w:r w:rsidRPr="00C57C68">
        <w:rPr>
          <w:lang w:val="en-US"/>
        </w:rPr>
        <w:t xml:space="preserve">The consequences of school exclusion or self-exclusion on young people seeking social and professional integration cannot be ignored. Indeed, this assertion is compromised by the fact that African-American male students find it more difficult to find a job given the less developed skills and the level of literature sometimes inadequate to occupy the desired position (Bell, 2014). Some links are even established between school dropout and consumption of alcohol, crime, and drug addiction (Bers &amp; Schuetz, 2014). These factors play a crucial role in influencing student ability to pursue education or drop out and seek alternative means of being successful quick, which is mainly in contravention of the laws with activities such as drug dealings and violent crimes. The level of fidelity among African male students to education is paramount in understanding the rate of dropout </w:t>
      </w:r>
      <w:r w:rsidRPr="00C57C68">
        <w:rPr>
          <w:lang w:val="en-US"/>
        </w:rPr>
        <w:fldChar w:fldCharType="begin"/>
      </w:r>
      <w:r w:rsidRPr="00C57C68">
        <w:rPr>
          <w:lang w:val="en-US"/>
        </w:rPr>
        <w:instrText>ADDIN CSL_CITATION {"citationItems":[{"id":"ITEM-1","itemData":{"DOI":"10.1177/0042085915569738","ISSN":"00420859","abstract":"The overwhelming majority of published scholarship on urban high schools in the United States focuses on problems of inadequacy, instability, underperformance, and violence. Similarly, across all schooling contexts, most of what has been written about young men of color continually reinforces deficit narratives about their educational possibility. Taken together, images of Black and Latino male students in inner-city schools often manufacture dark, hopeless visualizations of imperiled youth and educational environments. Using photographic data from a study of 325 college-bound juniors and seniors attending 40 public New York City high schools, this article counterbalances one-sided mischaracterizations of young men of color and the urban schools that educate them. Specifically, visual sociology and critical race methodologies are used to construct anti-deficit counternarratives about boys of color and urban education. They are large, overcrowded, dark, and dangerous settings in which little learning occurs. Most educators find them undesirable places to work; hence, few apply for jobs at them, which results in perpetual shortages and a reliance on emergency certification initiatives. Teachers who end up there tend to stay only a year or two because the students are so apathetic and underprepared, there are too few resources, and incompetent leaders repeatedly fail to ensure safety and stability. Their highly qualified professional peers who produce outstanding results all work at suburban and wealthy independent schools with up-to-date textbooks, new technologies, highly engaged parents, and motivated kids. Comparatively, the neighborhoods in which these places are situated are trashy, drug infested, and violent. Residents, including students' parents, do not seem to care much about school or anything else. These factors largely explain why students in these contexts score so low on state exams, and why practically none are college-ready and college-bound. It is unsurpris-ing that education reformers, politicians, and others eventually take over or shut down these places—too little about their character and performance justi-fies salvation. No one really seems to like these places or believe they can produce better results; anyone looking for success will not find it there. This is the master narrative about urban high schools in the United States. They are the worst. Find them at the very bottom of just about every sta-tistical metric of educational pr…","author":[{"dropping-particle":"","family":"Harper","given":"Shaun R.","non-dropping-particle":"","parse-names":false,"suffix":""}],"container-title":"Urban Education","id":"ITEM-1","issued":{"date-parts":[["2015"]]},"title":"Success in These Schools? Visual Counternarratives of Young Men of Color and Urban High Schools They Attend","type":"article-journal"},"uris":["http://www.mendeley.com/documents/?uuid=038bb7b4-ac39-48eb-9620-d106872ff91d"]}],"mendeley":{"formattedCitation":"(Harper, 2015)","plainTextFormattedCitation":"(Harper, 2015)","previouslyFormattedCitation":"(Harper, 2015)"},"properties":{"noteIndex":0},"schema":"https://github.com/citation-style-language/schema/raw/master/csl-citation.json"}</w:instrText>
      </w:r>
      <w:r w:rsidRPr="00C57C68">
        <w:rPr>
          <w:lang w:val="en-US"/>
        </w:rPr>
        <w:fldChar w:fldCharType="separate"/>
      </w:r>
      <w:bookmarkStart w:id="2" w:name="__Fieldmark__818_1203909495"/>
      <w:r w:rsidRPr="00C57C68">
        <w:rPr>
          <w:lang w:val="en-US"/>
        </w:rPr>
        <w:t>(</w:t>
      </w:r>
      <w:bookmarkStart w:id="3" w:name="__Fieldmark__752_1071498386"/>
      <w:r w:rsidRPr="00C57C68">
        <w:rPr>
          <w:lang w:val="en-US"/>
        </w:rPr>
        <w:t>Harper et al., 2015)</w:t>
      </w:r>
      <w:r w:rsidRPr="00C57C68">
        <w:rPr>
          <w:lang w:val="en-US"/>
        </w:rPr>
        <w:fldChar w:fldCharType="end"/>
      </w:r>
      <w:bookmarkEnd w:id="2"/>
      <w:bookmarkEnd w:id="3"/>
      <w:r w:rsidRPr="00C57C68">
        <w:rPr>
          <w:lang w:val="en-US"/>
        </w:rPr>
        <w:t>.</w:t>
      </w:r>
    </w:p>
    <w:p w14:paraId="3918A961" w14:textId="45558040" w:rsidR="00C57C68" w:rsidRPr="00C57C68" w:rsidRDefault="0019294A" w:rsidP="00C24576">
      <w:pPr>
        <w:spacing w:line="480" w:lineRule="auto"/>
        <w:ind w:firstLine="720"/>
        <w:jc w:val="both"/>
        <w:rPr>
          <w:lang w:val="en-US"/>
        </w:rPr>
      </w:pPr>
      <w:r w:rsidRPr="00C57C68">
        <w:rPr>
          <w:lang w:val="en-US"/>
        </w:rPr>
        <w:t>Instructors play an important in defining the learning needs of their students are more likely to understand critical factors that influence their commitment. Instructors have a more substantial effect on the underlying issues, which regarding the wellbeing of their students, which include an understanding of their attitude and socioeconomic factors, which are essential in defining a student understanding on education. Teachers provide a belief that the underlying social environment has a critical influence on the development of students and overall commitment to education. Individuals who have been successful through education have a positive influence on other members of the communities to pursue education (Strayhorn, 2014).</w:t>
      </w:r>
    </w:p>
    <w:p w14:paraId="0226C562" w14:textId="64845FA1" w:rsidR="00C57C68" w:rsidRPr="00C57C68" w:rsidRDefault="0019294A" w:rsidP="00C24576">
      <w:pPr>
        <w:spacing w:line="480" w:lineRule="auto"/>
        <w:ind w:firstLine="720"/>
        <w:jc w:val="both"/>
        <w:rPr>
          <w:lang w:val="en-US"/>
        </w:rPr>
      </w:pPr>
      <w:r w:rsidRPr="00C57C68">
        <w:rPr>
          <w:lang w:val="en-US"/>
        </w:rPr>
        <w:t xml:space="preserve">Besides, teachers are expected to hold a neutral position and help discuss issues positively, which is crucial in maintaining improved outcomes. Development of trust within a given context is essential in improving learning outcomes among students. Detecting when there is a change in attitude among students is easy for teachers because of the relationship that </w:t>
      </w:r>
      <w:r w:rsidRPr="00C57C68">
        <w:rPr>
          <w:lang w:val="en-US"/>
        </w:rPr>
        <w:lastRenderedPageBreak/>
        <w:t>exists. Teachers have the mandate and responsibility to ensure that every student can learn effectively while taking into consideration essential elements, which help maintain a positive outcome (Strayhorn, 2014).</w:t>
      </w:r>
    </w:p>
    <w:p w14:paraId="246EFD98" w14:textId="66ABB67A" w:rsidR="00C57C68" w:rsidRPr="00C57C68" w:rsidRDefault="0019294A" w:rsidP="00C24576">
      <w:pPr>
        <w:spacing w:line="480" w:lineRule="auto"/>
        <w:ind w:firstLine="720"/>
        <w:jc w:val="both"/>
        <w:rPr>
          <w:lang w:val="en-US"/>
        </w:rPr>
      </w:pPr>
      <w:r w:rsidRPr="00C57C68">
        <w:rPr>
          <w:lang w:val="en-US"/>
        </w:rPr>
        <w:t xml:space="preserve">However, African male students lack the inspiration to pursue education from their surrounding based on the quality of life. According to </w:t>
      </w:r>
      <w:r w:rsidRPr="00C57C68">
        <w:rPr>
          <w:lang w:val="en-US"/>
        </w:rPr>
        <w:fldChar w:fldCharType="begin"/>
      </w:r>
      <w:r w:rsidRPr="00C57C68">
        <w:rPr>
          <w:lang w:val="en-US"/>
        </w:rPr>
        <w:instrText>ADDIN CSL_CITATION {"citationItems":[{"id":"ITEM-1","itemData":{"DOI":"10.1177/0042085915569738","ISSN":"00420859","abstract":"The overwhelming majority of published scholarship on urban high schools in the United States focuses on problems of inadequacy, instability, underperformance, and violence. Similarly, across all schooling contexts, most of what has been written about young men of color continually reinforces deficit narratives about their educational possibility. Taken together, images of Black and Latino male students in inner-city schools often manufacture dark, hopeless visualizations of imperiled youth and educational environments. Using photographic data from a study of 325 college-bound juniors and seniors attending 40 public New York City high schools, this article counterbalances one-sided mischaracterizations of young men of color and the urban schools that educate them. Specifically, visual sociology and critical race methodologies are used to construct anti-deficit counternarratives about boys of color and urban education. They are large, overcrowded, dark, and dangerous settings in which little learning occurs. Most educators find them undesirable places to work; hence, few apply for jobs at them, which results in perpetual shortages and a reliance on emergency certification initiatives. Teachers who end up there tend to stay only a year or two because the students are so apathetic and underprepared, there are too few resources, and incompetent leaders repeatedly fail to ensure safety and stability. Their highly qualified professional peers who produce outstanding results all work at suburban and wealthy independent schools with up-to-date textbooks, new technologies, highly engaged parents, and motivated kids. Comparatively, the neighborhoods in which these places are situated are trashy, drug infested, and violent. Residents, including students' parents, do not seem to care much about school or anything else. These factors largely explain why students in these contexts score so low on state exams, and why practically none are college-ready and college-bound. It is unsurpris-ing that education reformers, politicians, and others eventually take over or shut down these places—too little about their character and performance justi-fies salvation. No one really seems to like these places or believe they can produce better results; anyone looking for success will not find it there. This is the master narrative about urban high schools in the United States. They are the worst. Find them at the very bottom of just about every sta-tistical metric of educational pr…","author":[{"dropping-particle":"","family":"Harper","given":"Shaun R.","non-dropping-particle":"","parse-names":false,"suffix":""}],"container-title":"Urban Education","id":"ITEM-1","issued":{"date-parts":[["2015"]]},"title":"Success in These Schools? Visual Counternarratives of Young Men of Color and Urban High Schools They Attend","type":"article-journal"},"uris":["http://www.mendeley.com/documents/?uuid=63dcf15c-4de8-44a9-bfc2-eb2e5d85f46d","http://www.mendeley.com/documents/?uuid=038bb7b4-ac39-48eb-9620-d106872ff91d"]}],"mendeley":{"formattedCitation":"(Harper, 2015)","plainTextFormattedCitation":"(Harper, 2015)","previouslyFormattedCitation":"(Harper, 2015)"},"properties":{"noteIndex":0},"schema":"https://github.com/citation-style-language/schema/raw/master/csl-citation.json"}</w:instrText>
      </w:r>
      <w:r w:rsidRPr="00C57C68">
        <w:rPr>
          <w:lang w:val="en-US"/>
        </w:rPr>
        <w:fldChar w:fldCharType="separate"/>
      </w:r>
      <w:bookmarkStart w:id="4" w:name="__Fieldmark__829_1203909495"/>
      <w:r w:rsidRPr="00C57C68">
        <w:rPr>
          <w:lang w:val="en-US"/>
        </w:rPr>
        <w:t>H</w:t>
      </w:r>
      <w:bookmarkStart w:id="5" w:name="__Fieldmark__762_1071498386"/>
      <w:r w:rsidRPr="00C57C68">
        <w:rPr>
          <w:lang w:val="en-US"/>
        </w:rPr>
        <w:t>arper</w:t>
      </w:r>
      <w:r w:rsidRPr="00C57C68">
        <w:rPr>
          <w:lang w:val="en-US"/>
        </w:rPr>
        <w:fldChar w:fldCharType="end"/>
      </w:r>
      <w:bookmarkEnd w:id="4"/>
      <w:bookmarkEnd w:id="5"/>
      <w:r w:rsidRPr="00C57C68">
        <w:rPr>
          <w:lang w:val="en-US"/>
        </w:rPr>
        <w:t xml:space="preserve"> et al. (2015) in a study that sought to determine the influence of crime in influencing student behavior highlighted that engagement in crime had been considered a better option to education considering that there is no positive influence in understanding the importance of education in poor  African American neighborhoods. A positive influence in this context include individuals who are influential and successful due to their commitment and pursued education despite the underlying challenges within the community. Teachers have limited influence on students based on the underlying interaction that exists between teachers and students. The high level of social disorganization has created a difficult understanding of positive factors which can improve student commitment to education. Thus in such context, even though teachers could be highly engaged in motivating learners, the social environment is not conducive.  </w:t>
      </w:r>
    </w:p>
    <w:p w14:paraId="27B0721A" w14:textId="4E623077" w:rsidR="00C57C68" w:rsidRPr="00C57C68" w:rsidRDefault="0019294A" w:rsidP="00C24576">
      <w:pPr>
        <w:spacing w:line="480" w:lineRule="auto"/>
        <w:ind w:firstLine="720"/>
        <w:jc w:val="both"/>
        <w:rPr>
          <w:lang w:val="en-US"/>
        </w:rPr>
      </w:pPr>
      <w:r w:rsidRPr="00C57C68">
        <w:rPr>
          <w:lang w:val="en-US"/>
        </w:rPr>
        <w:t>The needs of learners across different settings have provided a greater emphasis on important aspects which help maintain a unique level of engagement. Various stakeholders have critical roles in creating a profoundly transformed environment under which it would be possible to manage the existing cases of racial profiling.</w:t>
      </w:r>
      <w:r w:rsidRPr="00C57C68">
        <w:rPr>
          <w:rFonts w:eastAsia="Times New Roman" w:cs="Times New Roman"/>
          <w:color w:val="00000A"/>
          <w:szCs w:val="24"/>
          <w:lang w:val="en-US"/>
        </w:rPr>
        <w:t xml:space="preserve"> </w:t>
      </w:r>
      <w:r w:rsidRPr="00C57C68">
        <w:rPr>
          <w:lang w:val="en-US"/>
        </w:rPr>
        <w:t xml:space="preserve">Teachers form a vital part of the education system and thus, can provide crucial information regarding the development of students as well as educational development based on the different approaches that are evaluated in creating a profoundly transformed understanding on the behavior and attitude of students. Therefore, despite the existing information regarding factors, that influence school dropout, there is less information available regarding the perceptions of teachers on the dropout rate of African American male students (Wright, 2015).  Teachers have close interaction with </w:t>
      </w:r>
      <w:r w:rsidRPr="00C57C68">
        <w:rPr>
          <w:lang w:val="en-US"/>
        </w:rPr>
        <w:lastRenderedPageBreak/>
        <w:t>students from different racial groups where it is possible to compare their attitude, commitment, and behavior. High school dropout is not a new problem; however, such continued failure cannot be ignored. Therefore, this research will be based on the perceptions of high school teachers regarding the school drop out of African-American male high school students.</w:t>
      </w:r>
    </w:p>
    <w:p w14:paraId="4995795E" w14:textId="77777777" w:rsidR="00C57C68" w:rsidRPr="00C57C68" w:rsidRDefault="0019294A" w:rsidP="00C24576">
      <w:pPr>
        <w:spacing w:line="480" w:lineRule="auto"/>
        <w:ind w:firstLine="720"/>
        <w:jc w:val="both"/>
        <w:rPr>
          <w:lang w:val="en-US"/>
        </w:rPr>
      </w:pPr>
      <w:r w:rsidRPr="00C57C68">
        <w:rPr>
          <w:lang w:val="en-US"/>
        </w:rPr>
        <w:t>Thus, understanding these differences is crucial, and therefore, it is vital to concentrate on the perceptions of different stakeholders in education across different settings.  Teachers are well placed to provide an understanding of these changes within the education systems. Teachers interact with students from different social classes and thus can give a better consideration on crucial factors, which define the level of understanding between these differences. A commitment to education, especially among African American male, has been a critical subject where it is tenable to provide a more significant evaluation on underlying factors, which give a firm perception on the changes that are taking place within the community. The close interaction between teachers and students provide a prominence on compelling changes, which help in defining improved results within a given learning context (Strayhorn, 2014).</w:t>
      </w:r>
    </w:p>
    <w:p w14:paraId="065DFA32" w14:textId="018FDBA9" w:rsidR="00C57C68" w:rsidRDefault="0019294A" w:rsidP="00C24576">
      <w:pPr>
        <w:spacing w:line="480" w:lineRule="auto"/>
        <w:ind w:firstLine="720"/>
        <w:jc w:val="both"/>
        <w:rPr>
          <w:lang w:val="en-US"/>
        </w:rPr>
      </w:pPr>
      <w:r w:rsidRPr="00C57C68">
        <w:rPr>
          <w:lang w:val="en-US"/>
        </w:rPr>
        <w:t>The differences between black males and other communities within the education system are diverse, considering that there are unique factors, which influence individuals to focus on education. These factors include individual attitude towards education, socioeconomic factors, and the social environment. Students with a negative attitude towards education are unable to take into consideration key elements, which define educational success since they are unable to get inspiration from individuals who have been successful in education.</w:t>
      </w:r>
      <w:r w:rsidR="005B2B94">
        <w:rPr>
          <w:lang w:val="en-US"/>
        </w:rPr>
        <w:t xml:space="preserve"> </w:t>
      </w:r>
      <w:r w:rsidRPr="00C57C68">
        <w:rPr>
          <w:lang w:val="en-US"/>
        </w:rPr>
        <w:t>Poor students are more likely to consider themselves unable to compete with other students who are wealthy and thus opt to discontinue their education (Curran, 2016).  Majority of African American families are low-income earners, and most of them do not prioritize education over other basic needs, which leads to higher dropout due to lack of fees.</w:t>
      </w:r>
    </w:p>
    <w:p w14:paraId="06EA9786" w14:textId="4A99B1AB" w:rsidR="004D0E19" w:rsidRPr="00C57C68" w:rsidRDefault="0019294A" w:rsidP="004D0E19">
      <w:pPr>
        <w:spacing w:line="480" w:lineRule="auto"/>
        <w:ind w:firstLine="720"/>
        <w:jc w:val="center"/>
        <w:rPr>
          <w:lang w:val="en-US"/>
        </w:rPr>
      </w:pPr>
      <w:r>
        <w:rPr>
          <w:lang w:val="en-US"/>
        </w:rPr>
        <w:lastRenderedPageBreak/>
        <w:t>Conclusion</w:t>
      </w:r>
    </w:p>
    <w:p w14:paraId="5E540AFB" w14:textId="3C16A46E" w:rsidR="00C57C68" w:rsidRPr="00C57C68" w:rsidRDefault="0019294A" w:rsidP="00C24576">
      <w:pPr>
        <w:spacing w:line="480" w:lineRule="auto"/>
        <w:ind w:firstLine="720"/>
        <w:jc w:val="both"/>
        <w:rPr>
          <w:lang w:val="en-US"/>
        </w:rPr>
      </w:pPr>
      <w:r w:rsidRPr="00C57C68">
        <w:rPr>
          <w:lang w:val="en-US"/>
        </w:rPr>
        <w:t xml:space="preserve">The gap between African American male and other groups has been in the </w:t>
      </w:r>
      <w:r w:rsidR="005B2B94" w:rsidRPr="00C57C68">
        <w:rPr>
          <w:lang w:val="en-US"/>
        </w:rPr>
        <w:t>dropout</w:t>
      </w:r>
      <w:r w:rsidRPr="00C57C68">
        <w:rPr>
          <w:lang w:val="en-US"/>
        </w:rPr>
        <w:t xml:space="preserve"> rates only but across different aspects in the school, including grades, test scores as well as employment rates. Thus these factors are linked in explaining the existing deviation in the </w:t>
      </w:r>
      <w:r w:rsidR="005B2B94" w:rsidRPr="00C57C68">
        <w:rPr>
          <w:lang w:val="en-US"/>
        </w:rPr>
        <w:t>dropout</w:t>
      </w:r>
      <w:r w:rsidRPr="00C57C68">
        <w:rPr>
          <w:lang w:val="en-US"/>
        </w:rPr>
        <w:t xml:space="preserve"> rates among different groups. The overall focus on these differences within the education system creates a challenging environment for teachers who can provide an authentic evaluation of remarkable changes, which define improved outcomes across contrasting settings. The level of commitment and attitude towards education is different across different ethnic groups, primarily due to the existing employment patterns. </w:t>
      </w:r>
    </w:p>
    <w:p w14:paraId="27EA1ED9" w14:textId="6C8D6CDD" w:rsidR="00C57C68" w:rsidRDefault="00C57C68" w:rsidP="00C57C68">
      <w:pPr>
        <w:rPr>
          <w:lang w:val="en-US"/>
        </w:rPr>
      </w:pPr>
    </w:p>
    <w:p w14:paraId="089641D7" w14:textId="076889C9" w:rsidR="00C24576" w:rsidRDefault="00C24576" w:rsidP="00C57C68">
      <w:pPr>
        <w:rPr>
          <w:lang w:val="en-US"/>
        </w:rPr>
      </w:pPr>
    </w:p>
    <w:p w14:paraId="507A8BBB" w14:textId="084F691E" w:rsidR="00C24576" w:rsidRDefault="00C24576" w:rsidP="00C57C68">
      <w:pPr>
        <w:rPr>
          <w:lang w:val="en-US"/>
        </w:rPr>
      </w:pPr>
    </w:p>
    <w:p w14:paraId="698051C1" w14:textId="7ACD393E" w:rsidR="00C24576" w:rsidRDefault="00C24576" w:rsidP="00C57C68">
      <w:pPr>
        <w:rPr>
          <w:lang w:val="en-US"/>
        </w:rPr>
      </w:pPr>
    </w:p>
    <w:p w14:paraId="2E1A0173" w14:textId="36B6716B" w:rsidR="00C24576" w:rsidRDefault="00C24576" w:rsidP="00C57C68">
      <w:pPr>
        <w:rPr>
          <w:lang w:val="en-US"/>
        </w:rPr>
      </w:pPr>
    </w:p>
    <w:p w14:paraId="1029EB25" w14:textId="332E92AE" w:rsidR="00C24576" w:rsidRDefault="00C24576" w:rsidP="00C57C68">
      <w:pPr>
        <w:rPr>
          <w:lang w:val="en-US"/>
        </w:rPr>
      </w:pPr>
    </w:p>
    <w:p w14:paraId="1CBDE572" w14:textId="3C17FDC9" w:rsidR="00C24576" w:rsidRDefault="00C24576" w:rsidP="00C57C68">
      <w:pPr>
        <w:rPr>
          <w:lang w:val="en-US"/>
        </w:rPr>
      </w:pPr>
    </w:p>
    <w:p w14:paraId="7F6FEAC5" w14:textId="038E9735" w:rsidR="00C24576" w:rsidRDefault="00C24576" w:rsidP="00C57C68">
      <w:pPr>
        <w:rPr>
          <w:lang w:val="en-US"/>
        </w:rPr>
      </w:pPr>
    </w:p>
    <w:p w14:paraId="104B87AD" w14:textId="3CA0ACE6" w:rsidR="00C24576" w:rsidRDefault="00C24576" w:rsidP="00C57C68">
      <w:pPr>
        <w:rPr>
          <w:lang w:val="en-US"/>
        </w:rPr>
      </w:pPr>
    </w:p>
    <w:p w14:paraId="7B15BE1B" w14:textId="0C2B07C0" w:rsidR="00C24576" w:rsidRDefault="00C24576" w:rsidP="00C57C68">
      <w:pPr>
        <w:rPr>
          <w:lang w:val="en-US"/>
        </w:rPr>
      </w:pPr>
    </w:p>
    <w:p w14:paraId="69D500A1" w14:textId="2B85FCF4" w:rsidR="00C24576" w:rsidRDefault="00C24576" w:rsidP="00C57C68">
      <w:pPr>
        <w:rPr>
          <w:lang w:val="en-US"/>
        </w:rPr>
      </w:pPr>
    </w:p>
    <w:p w14:paraId="4E45D5A9" w14:textId="682296FF" w:rsidR="00C24576" w:rsidRDefault="00C24576" w:rsidP="00C57C68">
      <w:pPr>
        <w:rPr>
          <w:lang w:val="en-US"/>
        </w:rPr>
      </w:pPr>
    </w:p>
    <w:p w14:paraId="1207B657" w14:textId="4CEAEB31" w:rsidR="00C24576" w:rsidRDefault="00C24576" w:rsidP="00C57C68">
      <w:pPr>
        <w:rPr>
          <w:lang w:val="en-US"/>
        </w:rPr>
      </w:pPr>
    </w:p>
    <w:p w14:paraId="6B4D8A7E" w14:textId="18C6FFDB" w:rsidR="00C24576" w:rsidRDefault="00C24576" w:rsidP="00C57C68">
      <w:pPr>
        <w:rPr>
          <w:lang w:val="en-US"/>
        </w:rPr>
      </w:pPr>
    </w:p>
    <w:p w14:paraId="2552469B" w14:textId="606B7E2D" w:rsidR="00C24576" w:rsidRDefault="00C24576" w:rsidP="00C57C68">
      <w:pPr>
        <w:rPr>
          <w:lang w:val="en-US"/>
        </w:rPr>
      </w:pPr>
    </w:p>
    <w:p w14:paraId="16D46455" w14:textId="6D19DE81" w:rsidR="00C24576" w:rsidRDefault="00C24576" w:rsidP="00C57C68">
      <w:pPr>
        <w:rPr>
          <w:lang w:val="en-US"/>
        </w:rPr>
      </w:pPr>
    </w:p>
    <w:p w14:paraId="1479DB99" w14:textId="21EA433E" w:rsidR="00C24576" w:rsidRDefault="00C24576" w:rsidP="00C57C68">
      <w:pPr>
        <w:rPr>
          <w:lang w:val="en-US"/>
        </w:rPr>
      </w:pPr>
    </w:p>
    <w:p w14:paraId="33226004" w14:textId="48CA3FA9" w:rsidR="00C24576" w:rsidRDefault="00C24576" w:rsidP="00C57C68">
      <w:pPr>
        <w:rPr>
          <w:lang w:val="en-US"/>
        </w:rPr>
      </w:pPr>
    </w:p>
    <w:p w14:paraId="11F917CE" w14:textId="1C12F269" w:rsidR="00C24576" w:rsidRDefault="00C24576" w:rsidP="00C57C68">
      <w:pPr>
        <w:rPr>
          <w:lang w:val="en-US"/>
        </w:rPr>
      </w:pPr>
    </w:p>
    <w:p w14:paraId="1C01EEB6" w14:textId="43491140" w:rsidR="00C57C68" w:rsidRDefault="0019294A" w:rsidP="00C24576">
      <w:pPr>
        <w:jc w:val="center"/>
        <w:rPr>
          <w:lang w:val="en-US"/>
        </w:rPr>
      </w:pPr>
      <w:r>
        <w:rPr>
          <w:lang w:val="en-US"/>
        </w:rPr>
        <w:lastRenderedPageBreak/>
        <w:t>References</w:t>
      </w:r>
    </w:p>
    <w:p w14:paraId="330DE243" w14:textId="77777777" w:rsidR="005B2B94" w:rsidRPr="005B2B94" w:rsidRDefault="0019294A" w:rsidP="00C24576">
      <w:pPr>
        <w:spacing w:line="480" w:lineRule="auto"/>
        <w:ind w:left="720" w:hanging="720"/>
        <w:rPr>
          <w:lang w:val="en-US"/>
        </w:rPr>
      </w:pPr>
      <w:r w:rsidRPr="005B2B94">
        <w:rPr>
          <w:lang w:val="en-US"/>
        </w:rPr>
        <w:t xml:space="preserve">Bers, T., &amp; Schuetz, P. (2014). Nearby: A missing piece of the college completion conundrum. </w:t>
      </w:r>
      <w:r w:rsidRPr="005B2B94">
        <w:rPr>
          <w:i/>
          <w:lang w:val="en-US"/>
        </w:rPr>
        <w:t>Community College Review</w:t>
      </w:r>
      <w:r w:rsidRPr="005B2B94">
        <w:rPr>
          <w:lang w:val="en-US"/>
        </w:rPr>
        <w:t>, 42(3), 167-183.</w:t>
      </w:r>
    </w:p>
    <w:p w14:paraId="36ADE9B9" w14:textId="77777777" w:rsidR="005B2B94" w:rsidRPr="005B2B94" w:rsidRDefault="0019294A" w:rsidP="00C24576">
      <w:pPr>
        <w:spacing w:line="480" w:lineRule="auto"/>
        <w:ind w:left="720" w:hanging="720"/>
        <w:rPr>
          <w:lang w:val="en-US"/>
        </w:rPr>
      </w:pPr>
      <w:r w:rsidRPr="005B2B94">
        <w:rPr>
          <w:lang w:val="en-US"/>
        </w:rPr>
        <w:t>Curran, F. C. (2016). Estimating the effect of state zero tolerance laws on exclusionary discipline, racial discipline gaps, and student behavior. </w:t>
      </w:r>
      <w:r w:rsidRPr="005B2B94">
        <w:rPr>
          <w:i/>
          <w:iCs/>
          <w:lang w:val="en-US"/>
        </w:rPr>
        <w:t>Educational Evaluation and Policy Analysis</w:t>
      </w:r>
      <w:r w:rsidRPr="005B2B94">
        <w:rPr>
          <w:lang w:val="en-US"/>
        </w:rPr>
        <w:t>, </w:t>
      </w:r>
      <w:r w:rsidRPr="005B2B94">
        <w:rPr>
          <w:i/>
          <w:iCs/>
          <w:lang w:val="en-US"/>
        </w:rPr>
        <w:t>38</w:t>
      </w:r>
      <w:r w:rsidRPr="005B2B94">
        <w:rPr>
          <w:lang w:val="en-US"/>
        </w:rPr>
        <w:t>(4), 647-668.</w:t>
      </w:r>
    </w:p>
    <w:p w14:paraId="48EC3FB0" w14:textId="77777777" w:rsidR="005B2B94" w:rsidRPr="005B2B94" w:rsidRDefault="0019294A" w:rsidP="00C24576">
      <w:pPr>
        <w:spacing w:line="480" w:lineRule="auto"/>
        <w:ind w:left="720" w:hanging="720"/>
        <w:rPr>
          <w:lang w:val="en-US"/>
        </w:rPr>
      </w:pPr>
      <w:r w:rsidRPr="005B2B94">
        <w:rPr>
          <w:lang w:val="en-US"/>
        </w:rPr>
        <w:t xml:space="preserve">Harper, S. R. (2015). Success in These Schools? Visual Counternarratives of Young Men of Color and Urban High Schools They Attend. </w:t>
      </w:r>
      <w:r w:rsidRPr="005B2B94">
        <w:rPr>
          <w:i/>
          <w:lang w:val="en-US"/>
        </w:rPr>
        <w:t>Urban Education.</w:t>
      </w:r>
      <w:r w:rsidRPr="005B2B94">
        <w:rPr>
          <w:lang w:val="en-US"/>
        </w:rPr>
        <w:t xml:space="preserve"> https://doi.org/10.1177/0042085915569738</w:t>
      </w:r>
    </w:p>
    <w:p w14:paraId="2A5428D7" w14:textId="77777777" w:rsidR="005B2B94" w:rsidRPr="005B2B94" w:rsidRDefault="0019294A" w:rsidP="00C24576">
      <w:pPr>
        <w:spacing w:line="480" w:lineRule="auto"/>
        <w:ind w:left="720" w:hanging="720"/>
        <w:rPr>
          <w:lang w:val="en-US"/>
        </w:rPr>
      </w:pPr>
      <w:r w:rsidRPr="005B2B94">
        <w:rPr>
          <w:lang w:val="en-US"/>
        </w:rPr>
        <w:t>Strayhorn, T. L. (2014). What role does grit play in the academic success of black male collegians at predominantly white institutions?. </w:t>
      </w:r>
      <w:r w:rsidRPr="005B2B94">
        <w:rPr>
          <w:i/>
          <w:iCs/>
          <w:lang w:val="en-US"/>
        </w:rPr>
        <w:t>Journal of African American Studies</w:t>
      </w:r>
      <w:r w:rsidRPr="005B2B94">
        <w:rPr>
          <w:lang w:val="en-US"/>
        </w:rPr>
        <w:t>, </w:t>
      </w:r>
      <w:r w:rsidRPr="005B2B94">
        <w:rPr>
          <w:i/>
          <w:iCs/>
          <w:lang w:val="en-US"/>
        </w:rPr>
        <w:t>18</w:t>
      </w:r>
      <w:r w:rsidRPr="005B2B94">
        <w:rPr>
          <w:lang w:val="en-US"/>
        </w:rPr>
        <w:t>(1), 1-10.</w:t>
      </w:r>
    </w:p>
    <w:p w14:paraId="79AF9B24" w14:textId="77777777" w:rsidR="005B2B94" w:rsidRPr="005B2B94" w:rsidRDefault="0019294A" w:rsidP="00C24576">
      <w:pPr>
        <w:spacing w:line="480" w:lineRule="auto"/>
        <w:ind w:left="720" w:hanging="720"/>
        <w:rPr>
          <w:lang w:val="en-US"/>
        </w:rPr>
      </w:pPr>
      <w:r w:rsidRPr="005B2B94">
        <w:rPr>
          <w:lang w:val="en-US"/>
        </w:rPr>
        <w:t>Strayhorn, T. L., &amp; Johnson, R. M. (2014). Why are all the White students sitting together in college? Impact of Brown v. Board of Education on cross-racial interactions among Blacks and Whites. </w:t>
      </w:r>
      <w:r w:rsidRPr="005B2B94">
        <w:rPr>
          <w:i/>
          <w:iCs/>
          <w:lang w:val="en-US"/>
        </w:rPr>
        <w:t>The Journal of Negro Education</w:t>
      </w:r>
      <w:r w:rsidRPr="005B2B94">
        <w:rPr>
          <w:lang w:val="en-US"/>
        </w:rPr>
        <w:t>, </w:t>
      </w:r>
      <w:r w:rsidRPr="005B2B94">
        <w:rPr>
          <w:i/>
          <w:iCs/>
          <w:lang w:val="en-US"/>
        </w:rPr>
        <w:t>83</w:t>
      </w:r>
      <w:r w:rsidRPr="005B2B94">
        <w:rPr>
          <w:lang w:val="en-US"/>
        </w:rPr>
        <w:t>(3), 385-399.</w:t>
      </w:r>
    </w:p>
    <w:p w14:paraId="60DFA884" w14:textId="77777777" w:rsidR="005B2B94" w:rsidRPr="005B2B94" w:rsidRDefault="0019294A" w:rsidP="00C24576">
      <w:pPr>
        <w:spacing w:line="480" w:lineRule="auto"/>
        <w:ind w:left="720" w:hanging="720"/>
        <w:rPr>
          <w:lang w:val="en-US"/>
        </w:rPr>
      </w:pPr>
      <w:r w:rsidRPr="005B2B94">
        <w:rPr>
          <w:lang w:val="en-US"/>
        </w:rPr>
        <w:t>Wright, A. C. (2015). Teachers’ perceptions of students’ disruptive behavior: The effect of racial congruence and consequences for school suspension. </w:t>
      </w:r>
      <w:r w:rsidRPr="005B2B94">
        <w:rPr>
          <w:i/>
          <w:iCs/>
          <w:lang w:val="en-US"/>
        </w:rPr>
        <w:t>Unpublished manuscript, University of California, Santa Barbara</w:t>
      </w:r>
      <w:r w:rsidRPr="005B2B94">
        <w:rPr>
          <w:lang w:val="en-US"/>
        </w:rPr>
        <w:t>.</w:t>
      </w:r>
    </w:p>
    <w:p w14:paraId="31770FE3" w14:textId="77777777" w:rsidR="005B2B94" w:rsidRPr="00C57C68" w:rsidRDefault="005B2B94">
      <w:pPr>
        <w:rPr>
          <w:lang w:val="en-US"/>
        </w:rPr>
      </w:pPr>
    </w:p>
    <w:sectPr w:rsidR="005B2B94" w:rsidRPr="00C57C68" w:rsidSect="007C53D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B39B15" w14:textId="77777777" w:rsidR="000A4FD7" w:rsidRDefault="000A4FD7">
      <w:pPr>
        <w:spacing w:after="0" w:line="240" w:lineRule="auto"/>
      </w:pPr>
      <w:r>
        <w:separator/>
      </w:r>
    </w:p>
  </w:endnote>
  <w:endnote w:type="continuationSeparator" w:id="0">
    <w:p w14:paraId="37A31C15" w14:textId="77777777" w:rsidR="000A4FD7" w:rsidRDefault="000A4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5CA25" w14:textId="77777777" w:rsidR="000A4FD7" w:rsidRDefault="000A4FD7">
      <w:pPr>
        <w:spacing w:after="0" w:line="240" w:lineRule="auto"/>
      </w:pPr>
      <w:r>
        <w:separator/>
      </w:r>
    </w:p>
  </w:footnote>
  <w:footnote w:type="continuationSeparator" w:id="0">
    <w:p w14:paraId="7403A894" w14:textId="77777777" w:rsidR="000A4FD7" w:rsidRDefault="000A4F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FDF7E6" w14:textId="442F0BC2" w:rsidR="007C53D0" w:rsidRDefault="0019294A">
    <w:pPr>
      <w:pStyle w:val="Header"/>
      <w:jc w:val="right"/>
    </w:pPr>
    <w:r w:rsidRPr="007C53D0">
      <w:rPr>
        <w:lang w:val="en-US"/>
      </w:rPr>
      <w:t xml:space="preserve">RACIAL PROFILING IN SCHOOLS     </w:t>
    </w:r>
    <w:r>
      <w:rPr>
        <w:lang w:val="en-US"/>
      </w:rPr>
      <w:t xml:space="preserve">                                                                            </w:t>
    </w:r>
    <w:sdt>
      <w:sdtPr>
        <w:id w:val="4371032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76DF013" w14:textId="77777777" w:rsidR="007C53D0" w:rsidRDefault="007C53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B0AAA1" w14:textId="639B9CDC" w:rsidR="007C53D0" w:rsidRDefault="0019294A">
    <w:pPr>
      <w:pStyle w:val="Header"/>
      <w:jc w:val="right"/>
    </w:pPr>
    <w:r>
      <w:rPr>
        <w:lang w:val="en-US"/>
      </w:rPr>
      <w:t xml:space="preserve">Running head: </w:t>
    </w:r>
    <w:r w:rsidRPr="007C53D0">
      <w:rPr>
        <w:lang w:val="en-US"/>
      </w:rPr>
      <w:t>RACIAL PROFILING IN SCHOOLS</w:t>
    </w:r>
    <w:r>
      <w:rPr>
        <w:lang w:val="en-US"/>
      </w:rPr>
      <w:t xml:space="preserve">                                                           </w:t>
    </w:r>
    <w:sdt>
      <w:sdtPr>
        <w:id w:val="-18169429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C3940AB" w14:textId="77777777" w:rsidR="007C53D0" w:rsidRDefault="007C53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yN7c0MjYztLQ0N7FU0lEKTi0uzszPAykwrAUAszqojCwAAAA="/>
  </w:docVars>
  <w:rsids>
    <w:rsidRoot w:val="00785B3E"/>
    <w:rsid w:val="000A4FD7"/>
    <w:rsid w:val="0019294A"/>
    <w:rsid w:val="004A6BF5"/>
    <w:rsid w:val="004D0E19"/>
    <w:rsid w:val="00593D2E"/>
    <w:rsid w:val="005B2B94"/>
    <w:rsid w:val="00785B3E"/>
    <w:rsid w:val="007C53D0"/>
    <w:rsid w:val="00910495"/>
    <w:rsid w:val="00AB3540"/>
    <w:rsid w:val="00AE4776"/>
    <w:rsid w:val="00C24576"/>
    <w:rsid w:val="00C45649"/>
    <w:rsid w:val="00C57C68"/>
    <w:rsid w:val="00EA2889"/>
    <w:rsid w:val="00ED668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9B52BD-731B-4A99-8684-AD6BC5F00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3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3D0"/>
  </w:style>
  <w:style w:type="paragraph" w:styleId="Footer">
    <w:name w:val="footer"/>
    <w:basedOn w:val="Normal"/>
    <w:link w:val="FooterChar"/>
    <w:uiPriority w:val="99"/>
    <w:unhideWhenUsed/>
    <w:rsid w:val="007C53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2886</Words>
  <Characters>16454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2019-07-11T00:19:00Z</dcterms:created>
  <dcterms:modified xsi:type="dcterms:W3CDTF">2019-07-11T00:19:00Z</dcterms:modified>
</cp:coreProperties>
</file>